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7d9971767459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51433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MENDULA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310.623,01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365.015,08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305.373,62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392.213,65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27.198,57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1.742,29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28.197,32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Dječji vrić Mendula kao proračunski korisnik jedinice lokalne samouprave, svoje financijsko poslovanje vodi u skladu sa Zakonom o ustanovama a proračunsko računovodstvo temeljem Pravilnika o proračunskom računovodstvu i Računskom planu. </w:t>
      </w:r>
    </w:p>
    <w:p>
      <w:r>
        <w:t xml:space="preserve">Financijske izvještaje sastavlja i predaje u skladu s odredbama Pravilnika o financijskom izvještavanju u proračunskom računovodstvu.</w:t>
      </w:r>
    </w:p>
    <w:p>
      <w:r>
        <w:t xml:space="preserve">Odgovorna osoba proračunskog korisnika je Margareta Šarlija u funkciji ravnateljice.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50.443,37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52.456,20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Zbog usklađenja cijena te formiranja novih grupa dolazi do povećanja prihoda sufinanciranja cijena usluga i participacija.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188,9</w:t>
            </w:r>
          </w:p>
        </w:tc>
      </w:tr>
    </w:tbl>
    <w:p>
      <w:pPr>
        <w:spacing w:before="0" w:after="0"/>
      </w:pPr>
    </w:p>
    <w:p>
      <w:r>
        <w:t xml:space="preserve">Donacije su primljene od pravnih osoba sa sjedištem u Pirovcu.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259.355,24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311.564,88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imaju indeks 20 zbog povećanja osnovice za plaće. Povećanje je bilo planirano i ostvareno u prosincu.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202.799,03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267.813,27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132,1</w:t>
            </w:r>
          </w:p>
        </w:tc>
      </w:tr>
    </w:tbl>
    <w:p>
      <w:pPr>
        <w:spacing w:before="0" w:after="0"/>
      </w:pPr>
    </w:p>
    <w:p>
      <w:r>
        <w:t xml:space="preserve">Zbog povećanja osnovice za izračun plaća u prosincu dolazi do povećanja 3111 u iznosu od 32%.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175,4</w:t>
            </w:r>
          </w:p>
        </w:tc>
      </w:tr>
    </w:tbl>
    <w:p>
      <w:pPr>
        <w:spacing w:before="0" w:after="0"/>
      </w:pPr>
    </w:p>
    <w:p>
      <w:r>
        <w:t xml:space="preserve">Radnicima je isplaćeno tokom godine nagrade, regres za plaće te naknada za topli obrok.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31.356,64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41.329,31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131,8</w:t>
            </w:r>
          </w:p>
        </w:tc>
      </w:tr>
    </w:tbl>
    <w:p>
      <w:pPr>
        <w:spacing w:before="0" w:after="0"/>
      </w:pPr>
    </w:p>
    <w:p>
      <w:r>
        <w:t xml:space="preserve">Zbog povećanja osnovice za obračun dolazi do povećanja doprinosa za obvezno zdravstveno osiguranje za 31%.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15.385,12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15.867,99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</w:tbl>
    <w:p>
      <w:pPr>
        <w:spacing w:before="0" w:after="0"/>
      </w:pPr>
    </w:p>
    <w:p>
      <w:r>
        <w:t xml:space="preserve">Rashodi za usluge su u povećanju od 3%. Nema većih odstupanja pri rashodima za redovno financiranje djelatnosti.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57,3</w:t>
            </w:r>
          </w:p>
        </w:tc>
      </w:tr>
    </w:tbl>
    <w:p>
      <w:pPr>
        <w:spacing w:before="0" w:after="0"/>
      </w:pPr>
    </w:p>
    <w:p>
      <w:r>
        <w:t xml:space="preserve">U 2025. godini izvršena je nabavka laptopa te garderobnih ormara.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226,2</w:t>
            </w:r>
          </w:p>
        </w:tc>
      </w:tr>
    </w:tbl>
    <w:p>
      <w:pPr>
        <w:spacing w:before="0" w:after="0"/>
      </w:pPr>
    </w:p>
    <w:p>
      <w:r>
        <w:t xml:space="preserve">U 2025. nabavljen je laptop za ravnateljicu za vođenje poslovanja DV Mendula te uredski ormarići.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39.228,16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11.735,99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29,9</w:t>
            </w:r>
          </w:p>
        </w:tc>
      </w:tr>
    </w:tbl>
    <w:p>
      <w:pPr>
        <w:spacing w:before="0" w:after="0"/>
      </w:pPr>
    </w:p>
    <w:p>
      <w:r>
        <w:t xml:space="preserve">Financijska imovina je u padu za 70% a razlog tome je plaćanje rashoda poslovanja iz vlastitih izvora.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6.859,78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5.022,06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73,2</w:t>
            </w:r>
          </w:p>
        </w:tc>
      </w:tr>
    </w:tbl>
    <w:p>
      <w:pPr>
        <w:spacing w:before="0" w:after="0"/>
      </w:pPr>
    </w:p>
    <w:p>
      <w:r>
        <w:t xml:space="preserve">Potraživanja za prihode je umanjeno zbog otpisa zastarjelog potraživanja za koje je utvrđena nemogućnost naplate.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231 do 234 + 235 + 236 + 237 do 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24.820,18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27.312,88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r>
        <w:t xml:space="preserve">Obveze za zaposlene se odnose na obveze za plaću i doprinose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20.598,97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1182,3</w:t>
            </w:r>
          </w:p>
        </w:tc>
      </w:tr>
    </w:tbl>
    <w:p>
      <w:pPr>
        <w:spacing w:before="0" w:after="0"/>
      </w:pPr>
    </w:p>
    <w:p>
      <w:r>
        <w:t xml:space="preserve">Manjak prihoda poslovanja je ostvaren zbog prikazivanja rashoda trinaeste plaće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21.216,41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proizvedene dugotrajne imovine se odnosi na ispravak vrijednosti imovine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financijske imovine (šifre P009 do P015)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3.449,98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imovine se odnosi na otpis potraživanja.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27.312,88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se u većini odnosi za plaću za prosinac te 3 % za materijalne rashode.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Dječji vrtić Mendula u izvještajnom razdoblju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34eb0f0cc8473f" /></Relationships>
</file>